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244D" w14:textId="77777777" w:rsidR="00690041" w:rsidRPr="00690041" w:rsidRDefault="00690041" w:rsidP="00690041">
      <w:pPr>
        <w:pStyle w:val="Nagwek1"/>
        <w:spacing w:before="400" w:after="120" w:line="276" w:lineRule="auto"/>
        <w:jc w:val="center"/>
        <w:rPr>
          <w:rFonts w:ascii="Times New Roman" w:eastAsia="Arial" w:hAnsi="Times New Roman" w:cs="Times New Roman"/>
          <w:color w:val="000000" w:themeColor="text1"/>
        </w:rPr>
      </w:pPr>
      <w:r w:rsidRPr="00690041">
        <w:rPr>
          <w:rFonts w:ascii="Times New Roman" w:eastAsia="Arial" w:hAnsi="Times New Roman" w:cs="Times New Roman"/>
          <w:color w:val="000000" w:themeColor="text1"/>
          <w:lang w:val="pl"/>
        </w:rPr>
        <w:t>Polityka Prywatności</w:t>
      </w:r>
    </w:p>
    <w:p w14:paraId="349A83A7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6B963CD" w14:textId="57CD26F9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Przedstawię Ci zasady dotyczące przetwarzania danych w ramach</w:t>
      </w:r>
      <w:r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przedsiębiorstwa Andrea Dylong Dietetyk Sportowy, </w:t>
      </w:r>
      <w:proofErr w:type="spellStart"/>
      <w:r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newslettera</w:t>
      </w:r>
      <w:proofErr w:type="spellEnd"/>
      <w:r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</w:t>
      </w: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oraz strony</w:t>
      </w:r>
      <w:r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glodnaultra.pl.</w:t>
      </w: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</w:t>
      </w:r>
    </w:p>
    <w:p w14:paraId="313689EA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145592B4" w14:textId="77777777" w:rsidR="00690041" w:rsidRPr="00690041" w:rsidRDefault="00690041" w:rsidP="00690041">
      <w:pPr>
        <w:pStyle w:val="Nagwek3"/>
        <w:spacing w:before="320" w:line="276" w:lineRule="auto"/>
        <w:jc w:val="center"/>
        <w:rPr>
          <w:rFonts w:ascii="Times New Roman" w:eastAsia="Arial" w:hAnsi="Times New Roman" w:cs="Times New Roman"/>
          <w:color w:val="434343"/>
        </w:rPr>
      </w:pPr>
      <w:r w:rsidRPr="00690041">
        <w:rPr>
          <w:rFonts w:ascii="Times New Roman" w:eastAsia="Arial" w:hAnsi="Times New Roman" w:cs="Times New Roman"/>
          <w:color w:val="434343"/>
          <w:lang w:val="pl"/>
        </w:rPr>
        <w:t>Kto przetwarza Twoje dane:</w:t>
      </w:r>
    </w:p>
    <w:p w14:paraId="31E9BBD0" w14:textId="13AD831C" w:rsidR="00690041" w:rsidRPr="00690041" w:rsidRDefault="00690041" w:rsidP="00690041">
      <w:pPr>
        <w:spacing w:line="276" w:lineRule="auto"/>
        <w:ind w:left="720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690041"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Administrator- </w:t>
      </w:r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 xml:space="preserve">czyli ja- </w:t>
      </w:r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>Andrea Dylong Dietetyk Sportowy (glodnaultra.pl)</w:t>
      </w:r>
    </w:p>
    <w:p w14:paraId="6ED6EBC8" w14:textId="77777777" w:rsidR="00690041" w:rsidRPr="00690041" w:rsidRDefault="00690041" w:rsidP="00690041">
      <w:pPr>
        <w:pStyle w:val="Nagwek3"/>
        <w:spacing w:before="320" w:line="276" w:lineRule="auto"/>
        <w:jc w:val="center"/>
        <w:rPr>
          <w:rFonts w:ascii="Times New Roman" w:eastAsia="Arial" w:hAnsi="Times New Roman" w:cs="Times New Roman"/>
          <w:color w:val="434343"/>
        </w:rPr>
      </w:pPr>
      <w:r w:rsidRPr="00690041">
        <w:rPr>
          <w:rFonts w:ascii="Times New Roman" w:eastAsia="Arial" w:hAnsi="Times New Roman" w:cs="Times New Roman"/>
          <w:color w:val="434343"/>
          <w:lang w:val="pl"/>
        </w:rPr>
        <w:t>W jakim celu przetwarzam Twoje dane?</w:t>
      </w:r>
    </w:p>
    <w:p w14:paraId="462053F6" w14:textId="77777777" w:rsidR="00690041" w:rsidRPr="00690041" w:rsidRDefault="00690041" w:rsidP="00690041">
      <w:pPr>
        <w:spacing w:line="276" w:lineRule="auto"/>
        <w:ind w:left="720"/>
        <w:jc w:val="both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 xml:space="preserve">Twoje dane osobowe (w tym adres IP lub inne informacje gromadzone za pośrednictwem plików </w:t>
      </w:r>
      <w:proofErr w:type="spellStart"/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>cookies</w:t>
      </w:r>
      <w:proofErr w:type="spellEnd"/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>), przetwarzane są przez Administratora:</w:t>
      </w:r>
    </w:p>
    <w:p w14:paraId="6141EB64" w14:textId="77777777" w:rsidR="00690041" w:rsidRPr="00690041" w:rsidRDefault="00690041" w:rsidP="00690041">
      <w:pPr>
        <w:pStyle w:val="Akapitzlist"/>
        <w:numPr>
          <w:ilvl w:val="2"/>
          <w:numId w:val="2"/>
        </w:numPr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>w celu świadczenia usług drogą elektroniczną w zakresie udostępniana Użytkownikom treści gromadzonych w Serwisie– wówczas podstawą prawną przetwarzania jest niezbędność przetwarzania do wykonania umowy (art. 6 ust. 1 lit b RODO);</w:t>
      </w:r>
    </w:p>
    <w:p w14:paraId="38F0522A" w14:textId="77777777" w:rsidR="00690041" w:rsidRPr="00690041" w:rsidRDefault="00690041" w:rsidP="00690041">
      <w:pPr>
        <w:pStyle w:val="Akapitzlist"/>
        <w:numPr>
          <w:ilvl w:val="2"/>
          <w:numId w:val="2"/>
        </w:numPr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>w celu ewentualnego ustalenia i dochodzenia roszczeń lub obrony przed nimi – podstawą prawną przetwarzania jest uzasadniony interes prawny (art. 6 ust. 1 lit f RODO);</w:t>
      </w:r>
    </w:p>
    <w:p w14:paraId="768CF23E" w14:textId="77777777" w:rsidR="00690041" w:rsidRPr="00690041" w:rsidRDefault="00690041" w:rsidP="00690041">
      <w:pPr>
        <w:pStyle w:val="Akapitzlist"/>
        <w:numPr>
          <w:ilvl w:val="2"/>
          <w:numId w:val="2"/>
        </w:numPr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 xml:space="preserve">w celu przesyłania informacji handlowych za pomocą </w:t>
      </w:r>
      <w:proofErr w:type="spellStart"/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>newslettera</w:t>
      </w:r>
      <w:proofErr w:type="spellEnd"/>
      <w:r w:rsidRPr="00690041">
        <w:rPr>
          <w:rFonts w:ascii="Times New Roman" w:eastAsia="Garamond" w:hAnsi="Times New Roman" w:cs="Times New Roman"/>
          <w:color w:val="000000" w:themeColor="text1"/>
          <w:sz w:val="24"/>
          <w:szCs w:val="24"/>
          <w:lang w:val="pl"/>
        </w:rPr>
        <w:t xml:space="preserve"> podstawą prawną przetwarzania jest zgoda Użytkownika (art. 6 ust. 1 lit. a RODO)</w:t>
      </w:r>
    </w:p>
    <w:p w14:paraId="18361E53" w14:textId="77777777" w:rsidR="00690041" w:rsidRPr="00690041" w:rsidRDefault="00690041" w:rsidP="00690041">
      <w:pPr>
        <w:spacing w:before="320" w:after="80" w:line="276" w:lineRule="auto"/>
        <w:jc w:val="center"/>
        <w:rPr>
          <w:rFonts w:ascii="Times New Roman" w:eastAsia="Arial" w:hAnsi="Times New Roman" w:cs="Times New Roman"/>
          <w:color w:val="434343"/>
          <w:sz w:val="28"/>
          <w:szCs w:val="28"/>
        </w:rPr>
      </w:pPr>
      <w:r w:rsidRPr="00690041">
        <w:rPr>
          <w:rStyle w:val="normaltextrun"/>
          <w:rFonts w:ascii="Times New Roman" w:eastAsia="Arial" w:hAnsi="Times New Roman" w:cs="Times New Roman"/>
          <w:color w:val="434343"/>
          <w:sz w:val="28"/>
          <w:szCs w:val="28"/>
          <w:lang w:val="pl"/>
        </w:rPr>
        <w:t>Newsletter</w:t>
      </w:r>
    </w:p>
    <w:p w14:paraId="6F361BE8" w14:textId="77777777" w:rsidR="00690041" w:rsidRDefault="00690041" w:rsidP="00690041">
      <w:pPr>
        <w:spacing w:beforeAutospacing="1" w:afterAutospacing="1" w:line="240" w:lineRule="auto"/>
        <w:ind w:left="720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09D9979C" w14:textId="77777777" w:rsidR="00690041" w:rsidRDefault="00690041" w:rsidP="00690041">
      <w:pPr>
        <w:spacing w:beforeAutospacing="1" w:afterAutospacing="1" w:line="276" w:lineRule="auto"/>
        <w:ind w:left="720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Style w:val="normaltextrun"/>
          <w:rFonts w:ascii="Garamond" w:eastAsia="Garamond" w:hAnsi="Garamond" w:cs="Garamond"/>
          <w:color w:val="000000" w:themeColor="text1"/>
          <w:sz w:val="24"/>
          <w:szCs w:val="24"/>
        </w:rPr>
        <w:t>Administrator przetwarza dane osobowe Użytkowników w celu realizowania działań marketingowych, które mogą polegać na przesyłaniu Użytkownikowi treści marketingowych odpowiadających jego zainteresowaniom (newsletter); </w:t>
      </w:r>
    </w:p>
    <w:p w14:paraId="7B99E69A" w14:textId="4FB74601" w:rsidR="00690041" w:rsidRDefault="00690041" w:rsidP="00690041">
      <w:pPr>
        <w:spacing w:beforeAutospacing="1" w:afterAutospacing="1" w:line="276" w:lineRule="auto"/>
        <w:ind w:left="720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Style w:val="normaltextrun"/>
          <w:rFonts w:ascii="Garamond" w:eastAsia="Garamond" w:hAnsi="Garamond" w:cs="Garamond"/>
          <w:color w:val="000000" w:themeColor="text1"/>
          <w:sz w:val="24"/>
          <w:szCs w:val="24"/>
        </w:rPr>
        <w:t xml:space="preserve">W tym celu po uprzedniej zgodzie wyrażonej przez użytkownika na etapie potwierdzenia adresu mailowego, dane osobowe Użytkownika podane w Serwisie </w:t>
      </w:r>
      <w:r w:rsidRPr="00690041">
        <w:rPr>
          <w:rStyle w:val="normaltextrun"/>
          <w:rFonts w:ascii="Garamond" w:eastAsia="Garamond" w:hAnsi="Garamond" w:cs="Garamond"/>
          <w:color w:val="000000" w:themeColor="text1"/>
          <w:sz w:val="24"/>
          <w:szCs w:val="24"/>
        </w:rPr>
        <w:t>takie jak imię oraz adres email zostaną</w:t>
      </w:r>
      <w:r w:rsidRPr="12201059">
        <w:rPr>
          <w:rStyle w:val="normaltextrun"/>
          <w:rFonts w:ascii="Garamond" w:eastAsia="Garamond" w:hAnsi="Garamond" w:cs="Garamond"/>
          <w:color w:val="000000" w:themeColor="text1"/>
          <w:sz w:val="24"/>
          <w:szCs w:val="24"/>
        </w:rPr>
        <w:t xml:space="preserve"> przekazane do partnera </w:t>
      </w:r>
      <w:r w:rsidRPr="00690041">
        <w:rPr>
          <w:rStyle w:val="normaltextrun"/>
          <w:rFonts w:ascii="Garamond" w:eastAsia="Garamond" w:hAnsi="Garamond" w:cs="Garamond"/>
          <w:color w:val="000000" w:themeColor="text1"/>
          <w:sz w:val="24"/>
          <w:szCs w:val="24"/>
        </w:rPr>
        <w:t xml:space="preserve">Administratora – </w:t>
      </w:r>
      <w:r>
        <w:rPr>
          <w:rStyle w:val="normaltextrun"/>
          <w:rFonts w:ascii="Garamond" w:eastAsia="Garamond" w:hAnsi="Garamond" w:cs="Garamond"/>
          <w:color w:val="000000" w:themeColor="text1"/>
          <w:sz w:val="24"/>
          <w:szCs w:val="24"/>
        </w:rPr>
        <w:t>glodnaultra.pl</w:t>
      </w:r>
      <w:r w:rsidRPr="00690041">
        <w:rPr>
          <w:rStyle w:val="normaltextrun"/>
          <w:rFonts w:ascii="Garamond" w:eastAsia="Garamond" w:hAnsi="Garamond" w:cs="Garamond"/>
          <w:color w:val="000000" w:themeColor="text1"/>
          <w:sz w:val="24"/>
          <w:szCs w:val="24"/>
        </w:rPr>
        <w:t xml:space="preserve"> w celu</w:t>
      </w:r>
      <w:r w:rsidRPr="12201059">
        <w:rPr>
          <w:rStyle w:val="normaltextrun"/>
          <w:rFonts w:ascii="Garamond" w:eastAsia="Garamond" w:hAnsi="Garamond" w:cs="Garamond"/>
          <w:color w:val="000000" w:themeColor="text1"/>
          <w:sz w:val="24"/>
          <w:szCs w:val="24"/>
        </w:rPr>
        <w:t xml:space="preserve"> przesłania wiadomości mailowej zawierającej treści interesujące Użytkownika. </w:t>
      </w:r>
    </w:p>
    <w:p w14:paraId="5A30A538" w14:textId="77777777" w:rsidR="00690041" w:rsidRDefault="00690041" w:rsidP="00690041">
      <w:pPr>
        <w:spacing w:beforeAutospacing="1" w:afterAutospacing="1" w:line="276" w:lineRule="auto"/>
        <w:ind w:left="720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690041">
        <w:rPr>
          <w:rStyle w:val="normaltextrun"/>
          <w:rFonts w:ascii="Garamond" w:eastAsia="Garamond" w:hAnsi="Garamond" w:cs="Garamond"/>
          <w:color w:val="000000" w:themeColor="text1"/>
          <w:sz w:val="24"/>
          <w:szCs w:val="24"/>
        </w:rPr>
        <w:t>Administrator nie podejmuje decyzji automatycznych w stosunku do Użytkownika oraz dane osobowe Użytkownika nie podlegają profilowaniu.</w:t>
      </w:r>
      <w:r w:rsidRPr="12201059">
        <w:rPr>
          <w:rStyle w:val="eop"/>
          <w:rFonts w:ascii="Garamond" w:eastAsia="Garamond" w:hAnsi="Garamond" w:cs="Garamond"/>
          <w:color w:val="000000" w:themeColor="text1"/>
          <w:sz w:val="24"/>
          <w:szCs w:val="24"/>
        </w:rPr>
        <w:t> </w:t>
      </w:r>
    </w:p>
    <w:p w14:paraId="173F382D" w14:textId="77777777" w:rsidR="00690041" w:rsidRPr="00690041" w:rsidRDefault="00690041" w:rsidP="00690041">
      <w:pPr>
        <w:pStyle w:val="Nagwek3"/>
        <w:spacing w:before="320" w:line="276" w:lineRule="auto"/>
        <w:jc w:val="center"/>
        <w:rPr>
          <w:rFonts w:ascii="Times New Roman" w:eastAsia="Arial" w:hAnsi="Times New Roman" w:cs="Times New Roman"/>
          <w:color w:val="434343"/>
        </w:rPr>
      </w:pPr>
      <w:r w:rsidRPr="00690041">
        <w:rPr>
          <w:rFonts w:ascii="Times New Roman" w:eastAsia="Arial" w:hAnsi="Times New Roman" w:cs="Times New Roman"/>
          <w:color w:val="434343"/>
          <w:lang w:val="pl"/>
        </w:rPr>
        <w:lastRenderedPageBreak/>
        <w:t>Ciasteczka</w:t>
      </w:r>
    </w:p>
    <w:p w14:paraId="6F5AE039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Serwis Administratora używa plików „</w:t>
      </w:r>
      <w:proofErr w:type="spellStart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cookies</w:t>
      </w:r>
      <w:proofErr w:type="spellEnd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”. Brak zmiany ustawień przeglądarki po stronie Czytelnika jest równoznaczny z wyrażeniem zgody na ich użycie. Są to krótkie informacje tekstowe, zapisywane na komputerze, telefonie, tablecie, czy też innym urządzeniu użytkownika. Mogą być one odczytywane przez Administratora, a także przez systemy należące do innych podmiotów, z których usług korzysta </w:t>
      </w:r>
      <w:r w:rsidRPr="00690041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(takich jak Google).</w:t>
      </w: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</w:t>
      </w:r>
      <w:proofErr w:type="spellStart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Cookies</w:t>
      </w:r>
      <w:proofErr w:type="spellEnd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zazwyczaj zawierają nazwę strony internetowej, z której pochodzą, czas przechowywania ich na urządzeniu końcowym oraz unikalny numer. Więcej informacji na temat plików </w:t>
      </w:r>
      <w:proofErr w:type="spellStart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cookies</w:t>
      </w:r>
      <w:proofErr w:type="spellEnd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można uzyskać na stronie </w:t>
      </w:r>
      <w:hyperlink r:id="rId5">
        <w:r w:rsidRPr="12201059">
          <w:rPr>
            <w:rStyle w:val="Hipercze"/>
            <w:rFonts w:ascii="Garamond" w:eastAsia="Garamond" w:hAnsi="Garamond" w:cs="Garamond"/>
            <w:i/>
            <w:iCs/>
            <w:sz w:val="24"/>
            <w:szCs w:val="24"/>
            <w:lang w:val="pl"/>
          </w:rPr>
          <w:t>www.allaboutcookies.org</w:t>
        </w:r>
      </w:hyperlink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.</w:t>
      </w:r>
    </w:p>
    <w:p w14:paraId="0C58EEA9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4AC877ED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Jeżeli wyłączysz lub ograniczysz obsługę plików </w:t>
      </w:r>
      <w:proofErr w:type="spellStart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cookies</w:t>
      </w:r>
      <w:proofErr w:type="spellEnd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to strona może działać gorzej lub niektóre z funkcji zostaną poza Twoim zasięgiem.</w:t>
      </w:r>
    </w:p>
    <w:p w14:paraId="07AD9139" w14:textId="77777777" w:rsidR="00690041" w:rsidRPr="00690041" w:rsidRDefault="00690041" w:rsidP="00690041">
      <w:pPr>
        <w:pStyle w:val="Nagwek3"/>
        <w:spacing w:before="320" w:line="276" w:lineRule="auto"/>
        <w:jc w:val="center"/>
        <w:rPr>
          <w:rFonts w:ascii="Times New Roman" w:eastAsia="Arial" w:hAnsi="Times New Roman" w:cs="Times New Roman"/>
          <w:color w:val="434343"/>
        </w:rPr>
      </w:pPr>
      <w:r w:rsidRPr="00690041">
        <w:rPr>
          <w:rFonts w:ascii="Times New Roman" w:eastAsia="Arial" w:hAnsi="Times New Roman" w:cs="Times New Roman"/>
          <w:color w:val="434343"/>
          <w:lang w:val="pl"/>
        </w:rPr>
        <w:t>Jak długo będą przetwarzane dane?</w:t>
      </w:r>
    </w:p>
    <w:p w14:paraId="28A8EE2F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W zależności od podstawy ich przetwarzania i pochodzenia tych danych, co do zasady dane przetwarzane są przez czas świadczenia usługi lub realizowania zamówienia, do czasu wycofania wyrażonej zgody lub zgłoszenia skutecznego sprzeciwu względem przetwarzania danych w przypadkach, gdy podstawą prawną przetwarzania danych jest uzasadniony interes Administratora. Okres ten może zostać wydłużony jedynie, jeżeli zobowiąże mnie do tego przepis lub też organ państwowy. </w:t>
      </w:r>
    </w:p>
    <w:p w14:paraId="73C63692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Po upływie okresu przetwarzania dane są nieodwracalnie usuwane lub </w:t>
      </w:r>
      <w:proofErr w:type="spellStart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anonimizowane</w:t>
      </w:r>
      <w:proofErr w:type="spellEnd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.</w:t>
      </w:r>
    </w:p>
    <w:p w14:paraId="16287368" w14:textId="77777777" w:rsidR="00690041" w:rsidRPr="00690041" w:rsidRDefault="00690041" w:rsidP="00690041">
      <w:pPr>
        <w:pStyle w:val="Nagwek3"/>
        <w:spacing w:before="320" w:line="276" w:lineRule="auto"/>
        <w:jc w:val="center"/>
        <w:rPr>
          <w:rFonts w:ascii="Times New Roman" w:eastAsia="Arial" w:hAnsi="Times New Roman" w:cs="Times New Roman"/>
          <w:color w:val="434343"/>
        </w:rPr>
      </w:pPr>
      <w:r w:rsidRPr="00690041">
        <w:rPr>
          <w:rFonts w:ascii="Times New Roman" w:eastAsia="Arial" w:hAnsi="Times New Roman" w:cs="Times New Roman"/>
          <w:color w:val="434343"/>
          <w:lang w:val="pl"/>
        </w:rPr>
        <w:t>Co możesz zrobić w zakresie przetwarzania danych?</w:t>
      </w:r>
    </w:p>
    <w:p w14:paraId="28E013B5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Masz prawo do:</w:t>
      </w:r>
    </w:p>
    <w:p w14:paraId="3760BFB3" w14:textId="77777777" w:rsidR="00690041" w:rsidRDefault="00690041" w:rsidP="0069004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dostępu do treści danych oraz żądania ich sprostowania, </w:t>
      </w:r>
    </w:p>
    <w:p w14:paraId="15A711AB" w14:textId="77777777" w:rsidR="00690041" w:rsidRDefault="00690041" w:rsidP="0069004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usunięcia danych, </w:t>
      </w:r>
    </w:p>
    <w:p w14:paraId="455D8637" w14:textId="77777777" w:rsidR="00690041" w:rsidRDefault="00690041" w:rsidP="0069004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ograniczenia przetwarzania, </w:t>
      </w:r>
    </w:p>
    <w:p w14:paraId="2FF2D58E" w14:textId="77777777" w:rsidR="00690041" w:rsidRDefault="00690041" w:rsidP="0069004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prawo do przenoszenia danych,</w:t>
      </w:r>
    </w:p>
    <w:p w14:paraId="11F77FCE" w14:textId="77777777" w:rsidR="00690041" w:rsidRDefault="00690041" w:rsidP="0069004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prawo wniesienia sprzeciwu względem przetwarzania danych,</w:t>
      </w:r>
    </w:p>
    <w:p w14:paraId="5EEEC5CB" w14:textId="77777777" w:rsidR="00690041" w:rsidRDefault="00690041" w:rsidP="00690041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prawo wniesienia skargi do organu nadzorczego- Prezesa Urzędu Ochrony Danych Osobowych ul. Stawki 2, 00-193 Warszawa</w:t>
      </w:r>
    </w:p>
    <w:p w14:paraId="0926F349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364FF8A2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Jeżeli dane przetwarzane są na podstawie zgody, to w każdej chwili możesz ją wycofać. </w:t>
      </w:r>
    </w:p>
    <w:p w14:paraId="350232C6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30629A31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Masz prawo zgłoszenia sprzeciwu względem przetwarzania danych dla celów marketingowych, jeśli przetwarzanie odbywa się w związku z uzasadnionym interesem Administratora, a także – z przyczyn związanych ze szczególną sytuacją Użytkownika w innych przypadkach, gdy podstawą prawną przetwarzania danych jest uzasadniony interes Administratora (np. w związku z realizacją celów analitycznych i statystycznych).</w:t>
      </w:r>
    </w:p>
    <w:p w14:paraId="51C20F7C" w14:textId="77777777" w:rsidR="00690041" w:rsidRPr="00690041" w:rsidRDefault="00690041" w:rsidP="00690041">
      <w:pPr>
        <w:pStyle w:val="Nagwek3"/>
        <w:spacing w:before="320" w:line="276" w:lineRule="auto"/>
        <w:jc w:val="center"/>
        <w:rPr>
          <w:rFonts w:ascii="Times New Roman" w:eastAsia="Arial" w:hAnsi="Times New Roman" w:cs="Times New Roman"/>
          <w:color w:val="434343"/>
        </w:rPr>
      </w:pPr>
      <w:r w:rsidRPr="00690041">
        <w:rPr>
          <w:rFonts w:ascii="Times New Roman" w:eastAsia="Arial" w:hAnsi="Times New Roman" w:cs="Times New Roman"/>
          <w:color w:val="434343"/>
          <w:lang w:val="pl"/>
        </w:rPr>
        <w:lastRenderedPageBreak/>
        <w:t>Z kim się dzielę danymi?</w:t>
      </w:r>
    </w:p>
    <w:p w14:paraId="1CD8DF0B" w14:textId="77777777" w:rsidR="00690041" w:rsidRDefault="00690041" w:rsidP="00690041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46F1580D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Administrator zastrzega sobie prawo ujawnienia wybranych informacji dotyczących Użytkownika właściwym organom bądź osobom trzecim, które zgłoszą żądanie udzielenia takich informacji, opierając się na odpowiedniej podstawie prawnej oraz zgodnie z przepisami obowiązującego prawa.</w:t>
      </w:r>
    </w:p>
    <w:p w14:paraId="33CBC743" w14:textId="77777777" w:rsidR="00690041" w:rsidRPr="00690041" w:rsidRDefault="00690041" w:rsidP="00690041">
      <w:pPr>
        <w:pStyle w:val="Nagwek3"/>
        <w:spacing w:before="320" w:line="276" w:lineRule="auto"/>
        <w:jc w:val="center"/>
        <w:rPr>
          <w:rFonts w:ascii="Times New Roman" w:eastAsia="Arial" w:hAnsi="Times New Roman" w:cs="Times New Roman"/>
          <w:color w:val="434343"/>
        </w:rPr>
      </w:pPr>
      <w:r w:rsidRPr="00690041">
        <w:rPr>
          <w:rFonts w:ascii="Times New Roman" w:eastAsia="Arial" w:hAnsi="Times New Roman" w:cs="Times New Roman"/>
          <w:color w:val="434343"/>
          <w:lang w:val="pl"/>
        </w:rPr>
        <w:t>Przekazanie danych Poza Europejski Obszar Gospodarczy</w:t>
      </w:r>
    </w:p>
    <w:p w14:paraId="2BA81555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W celu obsługi strony udostępniam Twoje dane dostawcom narzędzi. Za każdym razem jednak jesteś informowany o zakresie przekazania danych oraz momencie ich przekazania do podmiotów trzecich. Podmioty te mogą mieć siedzibę w ramach Europejskiego Obszaru Gospodarczego lub też poza nim:</w:t>
      </w:r>
    </w:p>
    <w:p w14:paraId="6A4715FF" w14:textId="77777777" w:rsidR="00690041" w:rsidRDefault="00690041" w:rsidP="00690041">
      <w:pPr>
        <w:pStyle w:val="Nagwek4"/>
        <w:spacing w:line="276" w:lineRule="auto"/>
        <w:jc w:val="both"/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  <w:lang w:val="pl"/>
        </w:rPr>
        <w:t>W ramach EOG</w:t>
      </w:r>
    </w:p>
    <w:p w14:paraId="4423D9B6" w14:textId="77777777" w:rsidR="00690041" w:rsidRDefault="00690041" w:rsidP="00690041">
      <w:pPr>
        <w:spacing w:line="276" w:lineRule="auto"/>
        <w:ind w:left="144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4D9C16F3" w14:textId="6164D03C" w:rsidR="00690041" w:rsidRDefault="00690041" w:rsidP="00690041">
      <w:pPr>
        <w:spacing w:line="276" w:lineRule="auto"/>
        <w:ind w:left="144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proofErr w:type="spellStart"/>
      <w:r>
        <w:rPr>
          <w:rFonts w:ascii="Garamond" w:eastAsia="Garamond" w:hAnsi="Garamond" w:cs="Garamond"/>
          <w:color w:val="000000" w:themeColor="text1"/>
          <w:sz w:val="24"/>
          <w:szCs w:val="24"/>
        </w:rPr>
        <w:t>Alloweat</w:t>
      </w:r>
      <w:proofErr w:type="spellEnd"/>
      <w:r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– dostarczający rozwiązanie służące do współpracy dietetycznej </w:t>
      </w:r>
      <w:proofErr w:type="gramStart"/>
      <w:r>
        <w:rPr>
          <w:rFonts w:ascii="Garamond" w:eastAsia="Garamond" w:hAnsi="Garamond" w:cs="Garamond"/>
          <w:color w:val="000000" w:themeColor="text1"/>
          <w:sz w:val="24"/>
          <w:szCs w:val="24"/>
        </w:rPr>
        <w:t>( plan</w:t>
      </w:r>
      <w:proofErr w:type="gramEnd"/>
      <w:r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żywieniowy).</w:t>
      </w:r>
    </w:p>
    <w:p w14:paraId="78293FDE" w14:textId="77777777" w:rsidR="00690041" w:rsidRDefault="00690041" w:rsidP="00690041">
      <w:pPr>
        <w:pStyle w:val="Nagwek4"/>
        <w:spacing w:line="276" w:lineRule="auto"/>
        <w:ind w:left="1440"/>
        <w:jc w:val="both"/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  <w:lang w:val="pl"/>
        </w:rPr>
        <w:t xml:space="preserve">Dla </w:t>
      </w:r>
      <w:proofErr w:type="spellStart"/>
      <w:r w:rsidRPr="12201059"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  <w:highlight w:val="yellow"/>
          <w:lang w:val="pl"/>
        </w:rPr>
        <w:t>Hotjar</w:t>
      </w:r>
      <w:proofErr w:type="spellEnd"/>
      <w:r w:rsidRPr="12201059"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  <w:lang w:val="pl"/>
        </w:rPr>
        <w:t xml:space="preserve"> Ltd.- dostarczający rozwiązanie służące do monitorowania aktywności użytkownika na stronie w ramach tzw. </w:t>
      </w:r>
      <w:proofErr w:type="spellStart"/>
      <w:r w:rsidRPr="12201059"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  <w:lang w:val="pl"/>
        </w:rPr>
        <w:t>Heatmap</w:t>
      </w:r>
      <w:proofErr w:type="spellEnd"/>
      <w:r w:rsidRPr="12201059"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  <w:lang w:val="pl"/>
        </w:rPr>
        <w:t xml:space="preserve">. Zbierane dane uniemożliwiają identyfikację konkretnej osoby, a więcej informacji o standardach prywatności narzędzia dostępne jest pod linkiem </w:t>
      </w:r>
      <w:hyperlink r:id="rId6">
        <w:r w:rsidRPr="12201059">
          <w:rPr>
            <w:rStyle w:val="Hipercze"/>
            <w:rFonts w:ascii="Garamond" w:eastAsia="Garamond" w:hAnsi="Garamond" w:cs="Garamond"/>
            <w:sz w:val="24"/>
            <w:szCs w:val="24"/>
            <w:lang w:val="pl"/>
          </w:rPr>
          <w:t>https://www.hotjar.com/legal/policies/privacy/</w:t>
        </w:r>
      </w:hyperlink>
      <w:r w:rsidRPr="12201059"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  <w:lang w:val="pl"/>
        </w:rPr>
        <w:t>.</w:t>
      </w:r>
    </w:p>
    <w:p w14:paraId="61840E73" w14:textId="77777777" w:rsidR="00690041" w:rsidRDefault="00690041" w:rsidP="00690041">
      <w:pPr>
        <w:spacing w:line="276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22B33B6" w14:textId="77777777" w:rsidR="00690041" w:rsidRDefault="00690041" w:rsidP="00690041">
      <w:pPr>
        <w:pStyle w:val="Nagwek4"/>
        <w:spacing w:line="276" w:lineRule="auto"/>
        <w:jc w:val="both"/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i w:val="0"/>
          <w:iCs w:val="0"/>
          <w:color w:val="000000" w:themeColor="text1"/>
          <w:sz w:val="24"/>
          <w:szCs w:val="24"/>
          <w:lang w:val="pl"/>
        </w:rPr>
        <w:t>Poza EOG:</w:t>
      </w:r>
    </w:p>
    <w:p w14:paraId="6E6B901A" w14:textId="77777777" w:rsidR="00690041" w:rsidRDefault="00690041" w:rsidP="00690041">
      <w:pPr>
        <w:spacing w:line="276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F841E1F" w14:textId="77777777" w:rsidR="00690041" w:rsidRDefault="00690041" w:rsidP="00690041">
      <w:pPr>
        <w:spacing w:line="276" w:lineRule="auto"/>
        <w:ind w:left="144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W związku z tym, że niektóre podmioty współpracujące z Administratorem mają siedziby poza Unią Europejską, a zatem w świetle przepisów RODO są traktowane jako tzw. państwa trzecie. Dane są przekazywane podmiotom ze Stanów Zjednoczonych, które zapewniają odpowiednie standardy przetwarzania danych:  </w:t>
      </w:r>
    </w:p>
    <w:p w14:paraId="7A845BA8" w14:textId="77777777" w:rsidR="00690041" w:rsidRDefault="00690041" w:rsidP="00690041">
      <w:pPr>
        <w:spacing w:line="276" w:lineRule="auto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42BD386A" w14:textId="77777777" w:rsidR="00690041" w:rsidRDefault="00690041" w:rsidP="00690041">
      <w:pPr>
        <w:spacing w:line="276" w:lineRule="auto"/>
        <w:ind w:left="144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Dla </w:t>
      </w:r>
      <w:r w:rsidRPr="00690041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Google I</w:t>
      </w: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nc.- dostarczający rozwiązanie Google Analytics służące do monitorowania ruchu strony. Zbierane dane uniemożliwiają identyfikację konkretnej osoby, a więcej informacji o standardach prywatności narzędzia dostępne jest pod linkiem </w:t>
      </w:r>
      <w:hyperlink>
        <w:r w:rsidRPr="12201059">
          <w:rPr>
            <w:rStyle w:val="Hipercze"/>
            <w:rFonts w:ascii="Garamond" w:eastAsia="Garamond" w:hAnsi="Garamond" w:cs="Garamond"/>
            <w:i/>
            <w:iCs/>
            <w:sz w:val="24"/>
            <w:szCs w:val="24"/>
            <w:lang w:val="pl"/>
          </w:rPr>
          <w:t>www.google.com/intl/pl/policies/privacy/partners/</w:t>
        </w:r>
      </w:hyperlink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. Ponadto korzystając z poniższego linku: </w:t>
      </w:r>
      <w:hyperlink r:id="rId7">
        <w:r w:rsidRPr="12201059">
          <w:rPr>
            <w:rStyle w:val="Hipercze"/>
            <w:rFonts w:ascii="Garamond" w:eastAsia="Garamond" w:hAnsi="Garamond" w:cs="Garamond"/>
            <w:i/>
            <w:iCs/>
            <w:sz w:val="24"/>
            <w:szCs w:val="24"/>
            <w:lang w:val="pl"/>
          </w:rPr>
          <w:t>https://tools.google.com/dlpage/gaoptout</w:t>
        </w:r>
      </w:hyperlink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istnieje możliwość wyłączenia aktywności mierzonej przez Google Analytics.</w:t>
      </w:r>
    </w:p>
    <w:p w14:paraId="702A0210" w14:textId="77777777" w:rsidR="00690041" w:rsidRDefault="00690041" w:rsidP="00690041">
      <w:pPr>
        <w:spacing w:line="276" w:lineRule="auto"/>
        <w:ind w:left="144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169E0B90" w14:textId="77777777" w:rsidR="00690041" w:rsidRDefault="00690041" w:rsidP="00690041">
      <w:pPr>
        <w:spacing w:line="276" w:lineRule="auto"/>
        <w:ind w:left="144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Dla </w:t>
      </w:r>
      <w:r w:rsidRPr="00690041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Facebook</w:t>
      </w: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Inc. dostarczający rozwiązanie Facebook </w:t>
      </w:r>
      <w:proofErr w:type="spellStart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>Pixel</w:t>
      </w:r>
      <w:proofErr w:type="spellEnd"/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t xml:space="preserve"> służące do monitorowania ruchu strony.  –Zbierane dane co do zasady uniemożliwiają </w:t>
      </w:r>
      <w:r w:rsidRPr="12201059">
        <w:rPr>
          <w:rFonts w:ascii="Garamond" w:eastAsia="Garamond" w:hAnsi="Garamond" w:cs="Garamond"/>
          <w:color w:val="000000" w:themeColor="text1"/>
          <w:sz w:val="24"/>
          <w:szCs w:val="24"/>
          <w:lang w:val="pl"/>
        </w:rPr>
        <w:lastRenderedPageBreak/>
        <w:t xml:space="preserve">identyfikację konkretnej osoby, a więcej informacji o standardach prywatności narzędzia dostępne jest pod linkiem </w:t>
      </w:r>
      <w:hyperlink r:id="rId8">
        <w:r w:rsidRPr="12201059">
          <w:rPr>
            <w:rStyle w:val="Hipercze"/>
            <w:rFonts w:ascii="Garamond" w:eastAsia="Garamond" w:hAnsi="Garamond" w:cs="Garamond"/>
            <w:i/>
            <w:iCs/>
            <w:sz w:val="24"/>
            <w:szCs w:val="24"/>
            <w:lang w:val="pl"/>
          </w:rPr>
          <w:t>https://developers.facebook.com/docs/privacy/</w:t>
        </w:r>
      </w:hyperlink>
    </w:p>
    <w:p w14:paraId="482E4E6E" w14:textId="77777777" w:rsidR="00690041" w:rsidRDefault="00690041" w:rsidP="00690041">
      <w:pPr>
        <w:spacing w:line="276" w:lineRule="auto"/>
        <w:ind w:left="720"/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400B4B82" w14:textId="77777777" w:rsidR="00F82AF7" w:rsidRDefault="00F82AF7"/>
    <w:sectPr w:rsidR="00F8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239A"/>
    <w:multiLevelType w:val="hybridMultilevel"/>
    <w:tmpl w:val="EB6291C8"/>
    <w:lvl w:ilvl="0" w:tplc="083C3442">
      <w:start w:val="1"/>
      <w:numFmt w:val="lowerLetter"/>
      <w:lvlText w:val="%1."/>
      <w:lvlJc w:val="left"/>
      <w:pPr>
        <w:ind w:left="720" w:hanging="360"/>
      </w:pPr>
    </w:lvl>
    <w:lvl w:ilvl="1" w:tplc="22683A62">
      <w:start w:val="1"/>
      <w:numFmt w:val="lowerLetter"/>
      <w:lvlText w:val="%2."/>
      <w:lvlJc w:val="left"/>
      <w:pPr>
        <w:ind w:left="1440" w:hanging="360"/>
      </w:pPr>
    </w:lvl>
    <w:lvl w:ilvl="2" w:tplc="1FDC9CF6">
      <w:start w:val="1"/>
      <w:numFmt w:val="lowerRoman"/>
      <w:lvlText w:val="%3."/>
      <w:lvlJc w:val="right"/>
      <w:pPr>
        <w:ind w:left="2160" w:hanging="180"/>
      </w:pPr>
    </w:lvl>
    <w:lvl w:ilvl="3" w:tplc="0CD6CA2E">
      <w:start w:val="1"/>
      <w:numFmt w:val="decimal"/>
      <w:lvlText w:val="%4."/>
      <w:lvlJc w:val="left"/>
      <w:pPr>
        <w:ind w:left="2880" w:hanging="360"/>
      </w:pPr>
    </w:lvl>
    <w:lvl w:ilvl="4" w:tplc="C722DB30">
      <w:start w:val="1"/>
      <w:numFmt w:val="lowerLetter"/>
      <w:lvlText w:val="%5."/>
      <w:lvlJc w:val="left"/>
      <w:pPr>
        <w:ind w:left="3600" w:hanging="360"/>
      </w:pPr>
    </w:lvl>
    <w:lvl w:ilvl="5" w:tplc="55B6AF7A">
      <w:start w:val="1"/>
      <w:numFmt w:val="lowerRoman"/>
      <w:lvlText w:val="%6."/>
      <w:lvlJc w:val="right"/>
      <w:pPr>
        <w:ind w:left="4320" w:hanging="180"/>
      </w:pPr>
    </w:lvl>
    <w:lvl w:ilvl="6" w:tplc="595C8D48">
      <w:start w:val="1"/>
      <w:numFmt w:val="decimal"/>
      <w:lvlText w:val="%7."/>
      <w:lvlJc w:val="left"/>
      <w:pPr>
        <w:ind w:left="5040" w:hanging="360"/>
      </w:pPr>
    </w:lvl>
    <w:lvl w:ilvl="7" w:tplc="7280F296">
      <w:start w:val="1"/>
      <w:numFmt w:val="lowerLetter"/>
      <w:lvlText w:val="%8."/>
      <w:lvlJc w:val="left"/>
      <w:pPr>
        <w:ind w:left="5760" w:hanging="360"/>
      </w:pPr>
    </w:lvl>
    <w:lvl w:ilvl="8" w:tplc="12521B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826EA"/>
    <w:multiLevelType w:val="hybridMultilevel"/>
    <w:tmpl w:val="331E607A"/>
    <w:lvl w:ilvl="0" w:tplc="8416DD26">
      <w:start w:val="1"/>
      <w:numFmt w:val="decimal"/>
      <w:lvlText w:val="%1."/>
      <w:lvlJc w:val="left"/>
      <w:pPr>
        <w:ind w:left="720" w:hanging="360"/>
      </w:pPr>
    </w:lvl>
    <w:lvl w:ilvl="1" w:tplc="88D4B230">
      <w:start w:val="1"/>
      <w:numFmt w:val="lowerLetter"/>
      <w:lvlText w:val="%2."/>
      <w:lvlJc w:val="left"/>
      <w:pPr>
        <w:ind w:left="1440" w:hanging="360"/>
      </w:pPr>
    </w:lvl>
    <w:lvl w:ilvl="2" w:tplc="66868AD4">
      <w:start w:val="1"/>
      <w:numFmt w:val="lowerRoman"/>
      <w:lvlText w:val="%3."/>
      <w:lvlJc w:val="right"/>
      <w:pPr>
        <w:ind w:left="2160" w:hanging="180"/>
      </w:pPr>
    </w:lvl>
    <w:lvl w:ilvl="3" w:tplc="8F089B3C">
      <w:start w:val="1"/>
      <w:numFmt w:val="decimal"/>
      <w:lvlText w:val="%4."/>
      <w:lvlJc w:val="left"/>
      <w:pPr>
        <w:ind w:left="2880" w:hanging="360"/>
      </w:pPr>
    </w:lvl>
    <w:lvl w:ilvl="4" w:tplc="FBEE8EE8">
      <w:start w:val="1"/>
      <w:numFmt w:val="lowerLetter"/>
      <w:lvlText w:val="%5."/>
      <w:lvlJc w:val="left"/>
      <w:pPr>
        <w:ind w:left="3600" w:hanging="360"/>
      </w:pPr>
    </w:lvl>
    <w:lvl w:ilvl="5" w:tplc="03BEDCB4">
      <w:start w:val="1"/>
      <w:numFmt w:val="lowerRoman"/>
      <w:lvlText w:val="%6."/>
      <w:lvlJc w:val="right"/>
      <w:pPr>
        <w:ind w:left="4320" w:hanging="180"/>
      </w:pPr>
    </w:lvl>
    <w:lvl w:ilvl="6" w:tplc="93047D54">
      <w:start w:val="1"/>
      <w:numFmt w:val="decimal"/>
      <w:lvlText w:val="%7."/>
      <w:lvlJc w:val="left"/>
      <w:pPr>
        <w:ind w:left="5040" w:hanging="360"/>
      </w:pPr>
    </w:lvl>
    <w:lvl w:ilvl="7" w:tplc="9DD0B5A2">
      <w:start w:val="1"/>
      <w:numFmt w:val="lowerLetter"/>
      <w:lvlText w:val="%8."/>
      <w:lvlJc w:val="left"/>
      <w:pPr>
        <w:ind w:left="5760" w:hanging="360"/>
      </w:pPr>
    </w:lvl>
    <w:lvl w:ilvl="8" w:tplc="AD54DBCC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97206">
    <w:abstractNumId w:val="0"/>
  </w:num>
  <w:num w:numId="2" w16cid:durableId="158861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41"/>
    <w:rsid w:val="001E77AF"/>
    <w:rsid w:val="00690041"/>
    <w:rsid w:val="00BC415E"/>
    <w:rsid w:val="00D75309"/>
    <w:rsid w:val="00EA68A1"/>
    <w:rsid w:val="00F8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6555F"/>
  <w15:chartTrackingRefBased/>
  <w15:docId w15:val="{270D8AB5-D315-C94F-B831-7E5B967D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04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0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90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0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0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0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0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0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0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0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90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900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00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0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0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0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0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0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0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0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0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0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0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00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0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00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004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rsid w:val="00690041"/>
  </w:style>
  <w:style w:type="character" w:customStyle="1" w:styleId="eop">
    <w:name w:val="eop"/>
    <w:basedOn w:val="Domylnaczcionkaakapitu"/>
    <w:rsid w:val="00690041"/>
  </w:style>
  <w:style w:type="character" w:styleId="Hipercze">
    <w:name w:val="Hyperlink"/>
    <w:basedOn w:val="Domylnaczcionkaakapitu"/>
    <w:uiPriority w:val="99"/>
    <w:unhideWhenUsed/>
    <w:rsid w:val="006900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s.facebook.com/docs/priva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ols.google.com/dlpage/gaopt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jar.com/legal/policies/privacy/" TargetMode="External"/><Relationship Id="rId5" Type="http://schemas.openxmlformats.org/officeDocument/2006/relationships/hyperlink" Target="http://www.allaboutcookies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904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Dylong</dc:creator>
  <cp:keywords/>
  <dc:description/>
  <cp:lastModifiedBy>Andrea Dylong</cp:lastModifiedBy>
  <cp:revision>1</cp:revision>
  <dcterms:created xsi:type="dcterms:W3CDTF">2024-06-18T05:25:00Z</dcterms:created>
  <dcterms:modified xsi:type="dcterms:W3CDTF">2024-06-18T05:35:00Z</dcterms:modified>
</cp:coreProperties>
</file>